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01E" w:rsidRDefault="009B12B3">
      <w:r>
        <w:t xml:space="preserve">Apostasy in Islam </w:t>
      </w:r>
    </w:p>
    <w:p w:rsidR="009B12B3" w:rsidRDefault="009B12B3">
      <w:pPr>
        <w:rPr>
          <w:rFonts w:ascii="Calibri" w:hAnsi="Calibri"/>
          <w:i/>
          <w:iCs/>
          <w:color w:val="000000"/>
          <w:sz w:val="27"/>
          <w:szCs w:val="27"/>
          <w:shd w:val="clear" w:color="auto" w:fill="FFFFFF"/>
        </w:rPr>
      </w:pPr>
      <w:hyperlink r:id="rId4" w:anchor="89" w:tgtFrame="_blank" w:history="1">
        <w:r>
          <w:rPr>
            <w:rStyle w:val="Hyperlink"/>
            <w:rFonts w:ascii="Calibri" w:hAnsi="Calibri"/>
            <w:color w:val="697A67"/>
            <w:sz w:val="27"/>
            <w:szCs w:val="27"/>
            <w:shd w:val="clear" w:color="auto" w:fill="FFFFFF"/>
          </w:rPr>
          <w:t>Quran (4:89)</w:t>
        </w:r>
      </w:hyperlink>
      <w:r>
        <w:rPr>
          <w:rStyle w:val="apple-converted-space"/>
          <w:rFonts w:ascii="Calibri" w:hAnsi="Calibri"/>
          <w:color w:val="000000"/>
          <w:sz w:val="27"/>
          <w:szCs w:val="27"/>
          <w:shd w:val="clear" w:color="auto" w:fill="FFFFFF"/>
        </w:rPr>
        <w:t> </w:t>
      </w:r>
      <w:r>
        <w:rPr>
          <w:rFonts w:ascii="Calibri" w:hAnsi="Calibri"/>
          <w:color w:val="000000"/>
          <w:sz w:val="27"/>
          <w:szCs w:val="27"/>
          <w:shd w:val="clear" w:color="auto" w:fill="FFFFFF"/>
        </w:rPr>
        <w:t>-</w:t>
      </w:r>
      <w:r>
        <w:rPr>
          <w:rStyle w:val="apple-converted-space"/>
          <w:rFonts w:ascii="Calibri" w:hAnsi="Calibri"/>
          <w:color w:val="000000"/>
          <w:sz w:val="27"/>
          <w:szCs w:val="27"/>
          <w:shd w:val="clear" w:color="auto" w:fill="FFFFFF"/>
        </w:rPr>
        <w:t> </w:t>
      </w:r>
      <w:r>
        <w:rPr>
          <w:rFonts w:ascii="Calibri" w:hAnsi="Calibri"/>
          <w:i/>
          <w:iCs/>
          <w:color w:val="000000"/>
          <w:sz w:val="27"/>
          <w:szCs w:val="27"/>
          <w:shd w:val="clear" w:color="auto" w:fill="FFFFFF"/>
        </w:rPr>
        <w:t>"They wish that you should disbelieve as they disbelieve, and then you would be equal; therefore take not to yourselves friends of them, until they emigrate in the way of God; then, if they turn their backs, take them, and slay them wherever you find them; take not to yourselves any one of them as friend or helper."</w:t>
      </w:r>
    </w:p>
    <w:p w:rsidR="009B12B3" w:rsidRDefault="009B12B3" w:rsidP="009B12B3">
      <w:pPr>
        <w:pStyle w:val="NormalWeb"/>
        <w:shd w:val="clear" w:color="auto" w:fill="FFFFFF"/>
        <w:spacing w:before="0" w:beforeAutospacing="0" w:after="167" w:afterAutospacing="0" w:line="469" w:lineRule="atLeast"/>
        <w:jc w:val="both"/>
        <w:rPr>
          <w:rFonts w:ascii="Tahoma" w:hAnsi="Tahoma" w:cs="Tahoma"/>
          <w:b/>
          <w:bCs/>
          <w:color w:val="7C691B"/>
          <w:sz w:val="23"/>
          <w:szCs w:val="23"/>
        </w:rPr>
      </w:pPr>
      <w:r>
        <w:rPr>
          <w:rFonts w:ascii="Tahoma" w:hAnsi="Tahoma" w:cs="Tahoma"/>
          <w:b/>
          <w:bCs/>
          <w:color w:val="7C691B"/>
          <w:sz w:val="23"/>
          <w:szCs w:val="23"/>
        </w:rPr>
        <w:t xml:space="preserve">1 – </w:t>
      </w:r>
      <w:proofErr w:type="spellStart"/>
      <w:r>
        <w:rPr>
          <w:rFonts w:ascii="Tahoma" w:hAnsi="Tahoma" w:cs="Tahoma"/>
          <w:b/>
          <w:bCs/>
          <w:color w:val="7C691B"/>
          <w:sz w:val="23"/>
          <w:szCs w:val="23"/>
        </w:rPr>
        <w:t>Riddah</w:t>
      </w:r>
      <w:proofErr w:type="spellEnd"/>
      <w:r>
        <w:rPr>
          <w:rFonts w:ascii="Tahoma" w:hAnsi="Tahoma" w:cs="Tahoma"/>
          <w:b/>
          <w:bCs/>
          <w:color w:val="7C691B"/>
          <w:sz w:val="23"/>
          <w:szCs w:val="23"/>
        </w:rPr>
        <w:t xml:space="preserve"> (apostasy) refers to when a Muslim becomes a disbeliever by saying a clear statement to that effect, or by uttering words which imply that (i.e., which imply </w:t>
      </w:r>
      <w:proofErr w:type="spellStart"/>
      <w:r>
        <w:rPr>
          <w:rFonts w:ascii="Tahoma" w:hAnsi="Tahoma" w:cs="Tahoma"/>
          <w:b/>
          <w:bCs/>
          <w:color w:val="7C691B"/>
          <w:sz w:val="23"/>
          <w:szCs w:val="23"/>
        </w:rPr>
        <w:t>kufr</w:t>
      </w:r>
      <w:proofErr w:type="spellEnd"/>
      <w:r>
        <w:rPr>
          <w:rFonts w:ascii="Tahoma" w:hAnsi="Tahoma" w:cs="Tahoma"/>
          <w:b/>
          <w:bCs/>
          <w:color w:val="7C691B"/>
          <w:sz w:val="23"/>
          <w:szCs w:val="23"/>
        </w:rPr>
        <w:t xml:space="preserve"> or disbelief), or he does something that implies that (i.e., an action which implies </w:t>
      </w:r>
      <w:proofErr w:type="spellStart"/>
      <w:r>
        <w:rPr>
          <w:rFonts w:ascii="Tahoma" w:hAnsi="Tahoma" w:cs="Tahoma"/>
          <w:b/>
          <w:bCs/>
          <w:color w:val="7C691B"/>
          <w:sz w:val="23"/>
          <w:szCs w:val="23"/>
        </w:rPr>
        <w:t>kufr</w:t>
      </w:r>
      <w:proofErr w:type="spellEnd"/>
      <w:r>
        <w:rPr>
          <w:rFonts w:ascii="Tahoma" w:hAnsi="Tahoma" w:cs="Tahoma"/>
          <w:b/>
          <w:bCs/>
          <w:color w:val="7C691B"/>
          <w:sz w:val="23"/>
          <w:szCs w:val="23"/>
        </w:rPr>
        <w:t xml:space="preserve"> or disbelief). </w:t>
      </w:r>
    </w:p>
    <w:p w:rsidR="009B12B3" w:rsidRDefault="009B12B3" w:rsidP="009B12B3">
      <w:pPr>
        <w:pStyle w:val="NormalWeb"/>
        <w:shd w:val="clear" w:color="auto" w:fill="FFFFFF"/>
        <w:spacing w:before="0" w:beforeAutospacing="0" w:after="167" w:afterAutospacing="0" w:line="469" w:lineRule="atLeast"/>
        <w:jc w:val="both"/>
        <w:rPr>
          <w:rFonts w:ascii="Tahoma" w:hAnsi="Tahoma" w:cs="Tahoma"/>
          <w:b/>
          <w:bCs/>
          <w:color w:val="7C691B"/>
          <w:sz w:val="23"/>
          <w:szCs w:val="23"/>
        </w:rPr>
      </w:pPr>
      <w:r>
        <w:rPr>
          <w:rFonts w:ascii="Tahoma" w:hAnsi="Tahoma" w:cs="Tahoma"/>
          <w:b/>
          <w:bCs/>
          <w:color w:val="7C691B"/>
          <w:sz w:val="23"/>
          <w:szCs w:val="23"/>
        </w:rPr>
        <w:t xml:space="preserve">2 – What constitutes </w:t>
      </w:r>
      <w:proofErr w:type="gramStart"/>
      <w:r>
        <w:rPr>
          <w:rFonts w:ascii="Tahoma" w:hAnsi="Tahoma" w:cs="Tahoma"/>
          <w:b/>
          <w:bCs/>
          <w:color w:val="7C691B"/>
          <w:sz w:val="23"/>
          <w:szCs w:val="23"/>
        </w:rPr>
        <w:t>apostasy</w:t>
      </w:r>
      <w:proofErr w:type="gramEnd"/>
      <w:r>
        <w:rPr>
          <w:rFonts w:ascii="Tahoma" w:hAnsi="Tahoma" w:cs="Tahoma"/>
          <w:b/>
          <w:bCs/>
          <w:color w:val="7C691B"/>
          <w:sz w:val="23"/>
          <w:szCs w:val="23"/>
        </w:rPr>
        <w:t> </w:t>
      </w:r>
    </w:p>
    <w:p w:rsidR="009B12B3" w:rsidRDefault="009B12B3" w:rsidP="009B12B3">
      <w:pPr>
        <w:pStyle w:val="NormalWeb"/>
        <w:shd w:val="clear" w:color="auto" w:fill="FFFFFF"/>
        <w:spacing w:before="0" w:beforeAutospacing="0" w:after="167" w:afterAutospacing="0" w:line="469" w:lineRule="atLeast"/>
        <w:jc w:val="both"/>
        <w:rPr>
          <w:rFonts w:ascii="Tahoma" w:hAnsi="Tahoma" w:cs="Tahoma"/>
          <w:b/>
          <w:bCs/>
          <w:color w:val="7C691B"/>
          <w:sz w:val="23"/>
          <w:szCs w:val="23"/>
        </w:rPr>
      </w:pPr>
      <w:r>
        <w:rPr>
          <w:rFonts w:ascii="Tahoma" w:hAnsi="Tahoma" w:cs="Tahoma"/>
          <w:b/>
          <w:bCs/>
          <w:color w:val="7C691B"/>
          <w:sz w:val="23"/>
          <w:szCs w:val="23"/>
        </w:rPr>
        <w:t>The matters which constitute apostasy are divided into four categories: </w:t>
      </w:r>
    </w:p>
    <w:p w:rsidR="009B12B3" w:rsidRDefault="009B12B3" w:rsidP="009B12B3">
      <w:pPr>
        <w:pStyle w:val="NormalWeb"/>
        <w:shd w:val="clear" w:color="auto" w:fill="FFFFFF"/>
        <w:spacing w:before="0" w:beforeAutospacing="0" w:after="167" w:afterAutospacing="0" w:line="469" w:lineRule="atLeast"/>
        <w:jc w:val="both"/>
        <w:rPr>
          <w:rFonts w:ascii="Tahoma" w:hAnsi="Tahoma" w:cs="Tahoma"/>
          <w:b/>
          <w:bCs/>
          <w:color w:val="7C691B"/>
          <w:sz w:val="23"/>
          <w:szCs w:val="23"/>
        </w:rPr>
      </w:pPr>
      <w:r>
        <w:rPr>
          <w:rFonts w:ascii="Tahoma" w:hAnsi="Tahoma" w:cs="Tahoma"/>
          <w:b/>
          <w:bCs/>
          <w:color w:val="7C691B"/>
          <w:sz w:val="23"/>
          <w:szCs w:val="23"/>
        </w:rPr>
        <w:t xml:space="preserve">(a)   Apostasy in beliefs, such as associating others with </w:t>
      </w:r>
      <w:proofErr w:type="spellStart"/>
      <w:r>
        <w:rPr>
          <w:rFonts w:ascii="Tahoma" w:hAnsi="Tahoma" w:cs="Tahoma"/>
          <w:b/>
          <w:bCs/>
          <w:color w:val="7C691B"/>
          <w:sz w:val="23"/>
          <w:szCs w:val="23"/>
        </w:rPr>
        <w:t>Allaah</w:t>
      </w:r>
      <w:proofErr w:type="spellEnd"/>
      <w:r>
        <w:rPr>
          <w:rFonts w:ascii="Tahoma" w:hAnsi="Tahoma" w:cs="Tahoma"/>
          <w:b/>
          <w:bCs/>
          <w:color w:val="7C691B"/>
          <w:sz w:val="23"/>
          <w:szCs w:val="23"/>
        </w:rPr>
        <w:t xml:space="preserve">, denying Him, or denying an attribute which is proven to be one of His attributes, or by affirming that </w:t>
      </w:r>
      <w:proofErr w:type="spellStart"/>
      <w:r>
        <w:rPr>
          <w:rFonts w:ascii="Tahoma" w:hAnsi="Tahoma" w:cs="Tahoma"/>
          <w:b/>
          <w:bCs/>
          <w:color w:val="7C691B"/>
          <w:sz w:val="23"/>
          <w:szCs w:val="23"/>
        </w:rPr>
        <w:t>Allaah</w:t>
      </w:r>
      <w:proofErr w:type="spellEnd"/>
      <w:r>
        <w:rPr>
          <w:rFonts w:ascii="Tahoma" w:hAnsi="Tahoma" w:cs="Tahoma"/>
          <w:b/>
          <w:bCs/>
          <w:color w:val="7C691B"/>
          <w:sz w:val="23"/>
          <w:szCs w:val="23"/>
        </w:rPr>
        <w:t xml:space="preserve"> has a son. Whoever believes that </w:t>
      </w:r>
      <w:proofErr w:type="gramStart"/>
      <w:r>
        <w:rPr>
          <w:rFonts w:ascii="Tahoma" w:hAnsi="Tahoma" w:cs="Tahoma"/>
          <w:b/>
          <w:bCs/>
          <w:color w:val="7C691B"/>
          <w:sz w:val="23"/>
          <w:szCs w:val="23"/>
        </w:rPr>
        <w:t>is</w:t>
      </w:r>
      <w:proofErr w:type="gramEnd"/>
      <w:r>
        <w:rPr>
          <w:rFonts w:ascii="Tahoma" w:hAnsi="Tahoma" w:cs="Tahoma"/>
          <w:b/>
          <w:bCs/>
          <w:color w:val="7C691B"/>
          <w:sz w:val="23"/>
          <w:szCs w:val="23"/>
        </w:rPr>
        <w:t xml:space="preserve"> an apostate and a disbeliever.</w:t>
      </w:r>
    </w:p>
    <w:p w:rsidR="009B12B3" w:rsidRDefault="0049330B">
      <w:r>
        <w:rPr>
          <w:noProof/>
          <w:lang w:eastAsia="zh-TW"/>
        </w:rPr>
        <w:pict>
          <v:shapetype id="_x0000_t202" coordsize="21600,21600" o:spt="202" path="m,l,21600r21600,l21600,xe">
            <v:stroke joinstyle="miter"/>
            <v:path gradientshapeok="t" o:connecttype="rect"/>
          </v:shapetype>
          <v:shape id="_x0000_s1030" type="#_x0000_t202" style="position:absolute;margin-left:434.5pt;margin-top:50.35pt;width:91.75pt;height:291.35pt;z-index:251667456;mso-width-relative:margin;mso-height-relative:margin">
            <v:textbox>
              <w:txbxContent>
                <w:p w:rsidR="0049330B" w:rsidRPr="0049330B" w:rsidRDefault="0049330B" w:rsidP="0049330B">
                  <w:pPr>
                    <w:pStyle w:val="Heading2"/>
                    <w:shd w:val="clear" w:color="auto" w:fill="FFFFFF"/>
                    <w:spacing w:before="336" w:beforeAutospacing="0" w:after="0" w:afterAutospacing="0" w:line="288" w:lineRule="atLeast"/>
                    <w:rPr>
                      <w:rFonts w:ascii="Arial" w:hAnsi="Arial" w:cs="Arial"/>
                      <w:i/>
                      <w:iCs/>
                      <w:color w:val="000000"/>
                      <w:sz w:val="27"/>
                      <w:szCs w:val="27"/>
                    </w:rPr>
                  </w:pPr>
                  <w:r w:rsidRPr="0049330B">
                    <w:rPr>
                      <w:rFonts w:ascii="Arial" w:hAnsi="Arial" w:cs="Arial"/>
                      <w:i/>
                      <w:iCs/>
                      <w:color w:val="000000"/>
                      <w:sz w:val="27"/>
                      <w:szCs w:val="27"/>
                    </w:rPr>
                    <w:t>Islamic Revival</w:t>
                  </w:r>
                </w:p>
                <w:p w:rsidR="0049330B" w:rsidRPr="0049330B" w:rsidRDefault="0049330B" w:rsidP="0049330B">
                  <w:pPr>
                    <w:shd w:val="clear" w:color="auto" w:fill="FFFFFF"/>
                    <w:spacing w:before="360" w:after="360" w:line="360" w:lineRule="atLeast"/>
                    <w:rPr>
                      <w:rFonts w:ascii="Arial" w:eastAsia="Times New Roman" w:hAnsi="Arial" w:cs="Arial"/>
                      <w:color w:val="000000"/>
                      <w:sz w:val="18"/>
                      <w:szCs w:val="18"/>
                    </w:rPr>
                  </w:pPr>
                  <w:r w:rsidRPr="0049330B">
                    <w:rPr>
                      <w:rFonts w:ascii="Arial" w:eastAsia="Times New Roman" w:hAnsi="Arial" w:cs="Arial"/>
                      <w:color w:val="000000"/>
                      <w:sz w:val="18"/>
                      <w:szCs w:val="18"/>
                    </w:rPr>
                    <w:t>Islamic revival (</w:t>
                  </w:r>
                  <w:proofErr w:type="spellStart"/>
                  <w:r w:rsidRPr="0049330B">
                    <w:rPr>
                      <w:rFonts w:ascii="Arial" w:eastAsia="Times New Roman" w:hAnsi="Arial" w:cs="Arial"/>
                      <w:i/>
                      <w:iCs/>
                      <w:color w:val="000000"/>
                      <w:sz w:val="18"/>
                      <w:szCs w:val="18"/>
                    </w:rPr>
                    <w:t>ihya</w:t>
                  </w:r>
                  <w:proofErr w:type="spellEnd"/>
                  <w:r w:rsidRPr="0049330B">
                    <w:rPr>
                      <w:rFonts w:ascii="Arial" w:eastAsia="Times New Roman" w:hAnsi="Arial" w:cs="Arial"/>
                      <w:color w:val="000000"/>
                      <w:sz w:val="18"/>
                      <w:szCs w:val="18"/>
                    </w:rPr>
                    <w:t>') refers to the support for an increased influence of Islamic values on the modern world as a response to Western and secular trends.</w:t>
                  </w:r>
                </w:p>
                <w:p w:rsidR="0049330B" w:rsidRDefault="0049330B"/>
              </w:txbxContent>
            </v:textbox>
          </v:shape>
        </w:pict>
      </w: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9" type="#_x0000_t13" style="position:absolute;margin-left:324pt;margin-top:213.6pt;width:103.8pt;height:64.45pt;z-index:251665408"/>
        </w:pict>
      </w:r>
      <w:r w:rsidR="009B12B3">
        <w:rPr>
          <w:noProof/>
          <w:lang w:eastAsia="zh-TW"/>
        </w:rPr>
        <w:pict>
          <v:shape id="_x0000_s1028" type="#_x0000_t202" style="position:absolute;margin-left:120.55pt;margin-top:143.3pt;width:219.35pt;height:210.1pt;z-index:251664384;mso-width-relative:margin;mso-height-relative:margin">
            <v:textbox>
              <w:txbxContent>
                <w:p w:rsidR="009B12B3" w:rsidRDefault="009B12B3">
                  <w:r>
                    <w:t xml:space="preserve">Said </w:t>
                  </w:r>
                  <w:proofErr w:type="spellStart"/>
                  <w:r>
                    <w:t>Hawwa</w:t>
                  </w:r>
                  <w:proofErr w:type="spellEnd"/>
                  <w:r>
                    <w:t xml:space="preserve"> was a Syrian member of the Muslim Brotherhood. He argued that in the 1950’s Muslims were heading toward an apostate time period that was caused by political forces in Syria or Egypt. Abandoning Islam must be avoided. Stop watching TV, listening to the radio and reading foreign newspapers. Such forces make the practice of faith difficult, further complicating the jihad. </w:t>
                  </w:r>
                  <w:proofErr w:type="spellStart"/>
                  <w:r w:rsidR="0049330B">
                    <w:t>Hawwa</w:t>
                  </w:r>
                  <w:proofErr w:type="spellEnd"/>
                  <w:r w:rsidR="0049330B">
                    <w:t xml:space="preserve"> becomes a </w:t>
                  </w:r>
                  <w:proofErr w:type="spellStart"/>
                  <w:r w:rsidR="0049330B">
                    <w:t>Jihadi</w:t>
                  </w:r>
                  <w:proofErr w:type="spellEnd"/>
                  <w:r w:rsidR="0049330B">
                    <w:t xml:space="preserve"> scholar with his views as would others who saw their countries of origin and faith being altered by outside forces. </w:t>
                  </w:r>
                </w:p>
              </w:txbxContent>
            </v:textbox>
          </v:shape>
        </w:pict>
      </w:r>
      <w:r w:rsidR="009B12B3">
        <w:rPr>
          <w:noProof/>
          <w:lang w:eastAsia="zh-TW"/>
        </w:rPr>
        <w:pict>
          <v:shape id="_x0000_s1027" type="#_x0000_t202" style="position:absolute;margin-left:-45.55pt;margin-top:143.3pt;width:166.1pt;height:203.4pt;z-index:251662336;mso-width-relative:margin;mso-height-relative:margin">
            <v:textbox>
              <w:txbxContent>
                <w:p w:rsidR="009B12B3" w:rsidRDefault="009B12B3">
                  <w:r>
                    <w:rPr>
                      <w:noProof/>
                    </w:rPr>
                    <w:drawing>
                      <wp:inline distT="0" distB="0" distL="0" distR="0">
                        <wp:extent cx="1917065" cy="2342988"/>
                        <wp:effectExtent l="19050" t="0" r="6985" b="0"/>
                        <wp:docPr id="4" name="Picture 4" descr="http://4.bp.blogspot.com/-6YI7J_T5ZH0/UfUuzHzQmKI/AAAAAAAAAHs/5YxXYsFB98Q/s1600/sheikh_said_hawa-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4.bp.blogspot.com/-6YI7J_T5ZH0/UfUuzHzQmKI/AAAAAAAAAHs/5YxXYsFB98Q/s1600/sheikh_said_hawa-cropped.jpg"/>
                                <pic:cNvPicPr>
                                  <a:picLocks noChangeAspect="1" noChangeArrowheads="1"/>
                                </pic:cNvPicPr>
                              </pic:nvPicPr>
                              <pic:blipFill>
                                <a:blip r:embed="rId5"/>
                                <a:srcRect/>
                                <a:stretch>
                                  <a:fillRect/>
                                </a:stretch>
                              </pic:blipFill>
                              <pic:spPr bwMode="auto">
                                <a:xfrm>
                                  <a:off x="0" y="0"/>
                                  <a:ext cx="1917065" cy="2342988"/>
                                </a:xfrm>
                                <a:prstGeom prst="rect">
                                  <a:avLst/>
                                </a:prstGeom>
                                <a:noFill/>
                                <a:ln w="9525">
                                  <a:noFill/>
                                  <a:miter lim="800000"/>
                                  <a:headEnd/>
                                  <a:tailEnd/>
                                </a:ln>
                              </pic:spPr>
                            </pic:pic>
                          </a:graphicData>
                        </a:graphic>
                      </wp:inline>
                    </w:drawing>
                  </w:r>
                </w:p>
              </w:txbxContent>
            </v:textbox>
          </v:shape>
        </w:pict>
      </w:r>
      <w:r w:rsidR="009B12B3">
        <w:rPr>
          <w:noProof/>
          <w:lang w:eastAsia="zh-TW"/>
        </w:rPr>
        <w:pict>
          <v:shape id="_x0000_s1026" type="#_x0000_t202" style="position:absolute;margin-left:-45.55pt;margin-top:.4pt;width:385.45pt;height:142.9pt;z-index:251660288;mso-width-relative:margin;mso-height-relative:margin">
            <v:textbox>
              <w:txbxContent>
                <w:p w:rsidR="009B12B3" w:rsidRDefault="009B12B3">
                  <w:r>
                    <w:rPr>
                      <w:noProof/>
                    </w:rPr>
                    <w:drawing>
                      <wp:inline distT="0" distB="0" distL="0" distR="0">
                        <wp:extent cx="4786866" cy="1701209"/>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l="38366" t="59593" r="23477" b="16406"/>
                                <a:stretch>
                                  <a:fillRect/>
                                </a:stretch>
                              </pic:blipFill>
                              <pic:spPr bwMode="auto">
                                <a:xfrm>
                                  <a:off x="0" y="0"/>
                                  <a:ext cx="4786866" cy="1701209"/>
                                </a:xfrm>
                                <a:prstGeom prst="rect">
                                  <a:avLst/>
                                </a:prstGeom>
                                <a:noFill/>
                                <a:ln w="9525">
                                  <a:noFill/>
                                  <a:miter lim="800000"/>
                                  <a:headEnd/>
                                  <a:tailEnd/>
                                </a:ln>
                              </pic:spPr>
                            </pic:pic>
                          </a:graphicData>
                        </a:graphic>
                      </wp:inline>
                    </w:drawing>
                  </w:r>
                </w:p>
              </w:txbxContent>
            </v:textbox>
          </v:shape>
        </w:pict>
      </w:r>
    </w:p>
    <w:sectPr w:rsidR="009B12B3" w:rsidSect="0079601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9B12B3"/>
    <w:rsid w:val="0049330B"/>
    <w:rsid w:val="0079601E"/>
    <w:rsid w:val="0090038A"/>
    <w:rsid w:val="009B12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01E"/>
  </w:style>
  <w:style w:type="paragraph" w:styleId="Heading2">
    <w:name w:val="heading 2"/>
    <w:basedOn w:val="Normal"/>
    <w:link w:val="Heading2Char"/>
    <w:uiPriority w:val="9"/>
    <w:qFormat/>
    <w:rsid w:val="0049330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B12B3"/>
    <w:rPr>
      <w:color w:val="0000FF"/>
      <w:u w:val="single"/>
    </w:rPr>
  </w:style>
  <w:style w:type="character" w:customStyle="1" w:styleId="apple-converted-space">
    <w:name w:val="apple-converted-space"/>
    <w:basedOn w:val="DefaultParagraphFont"/>
    <w:rsid w:val="009B12B3"/>
  </w:style>
  <w:style w:type="paragraph" w:styleId="NormalWeb">
    <w:name w:val="Normal (Web)"/>
    <w:basedOn w:val="Normal"/>
    <w:uiPriority w:val="99"/>
    <w:semiHidden/>
    <w:unhideWhenUsed/>
    <w:rsid w:val="009B12B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B12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2B3"/>
    <w:rPr>
      <w:rFonts w:ascii="Tahoma" w:hAnsi="Tahoma" w:cs="Tahoma"/>
      <w:sz w:val="16"/>
      <w:szCs w:val="16"/>
    </w:rPr>
  </w:style>
  <w:style w:type="character" w:customStyle="1" w:styleId="Heading2Char">
    <w:name w:val="Heading 2 Char"/>
    <w:basedOn w:val="DefaultParagraphFont"/>
    <w:link w:val="Heading2"/>
    <w:uiPriority w:val="9"/>
    <w:rsid w:val="0049330B"/>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47997707">
      <w:bodyDiv w:val="1"/>
      <w:marLeft w:val="0"/>
      <w:marRight w:val="0"/>
      <w:marTop w:val="0"/>
      <w:marBottom w:val="0"/>
      <w:divBdr>
        <w:top w:val="none" w:sz="0" w:space="0" w:color="auto"/>
        <w:left w:val="none" w:sz="0" w:space="0" w:color="auto"/>
        <w:bottom w:val="none" w:sz="0" w:space="0" w:color="auto"/>
        <w:right w:val="none" w:sz="0" w:space="0" w:color="auto"/>
      </w:divBdr>
    </w:div>
    <w:div w:id="55511726">
      <w:bodyDiv w:val="1"/>
      <w:marLeft w:val="0"/>
      <w:marRight w:val="0"/>
      <w:marTop w:val="0"/>
      <w:marBottom w:val="0"/>
      <w:divBdr>
        <w:top w:val="none" w:sz="0" w:space="0" w:color="auto"/>
        <w:left w:val="none" w:sz="0" w:space="0" w:color="auto"/>
        <w:bottom w:val="none" w:sz="0" w:space="0" w:color="auto"/>
        <w:right w:val="none" w:sz="0" w:space="0" w:color="auto"/>
      </w:divBdr>
    </w:div>
    <w:div w:id="263273313">
      <w:bodyDiv w:val="1"/>
      <w:marLeft w:val="0"/>
      <w:marRight w:val="0"/>
      <w:marTop w:val="0"/>
      <w:marBottom w:val="0"/>
      <w:divBdr>
        <w:top w:val="none" w:sz="0" w:space="0" w:color="auto"/>
        <w:left w:val="none" w:sz="0" w:space="0" w:color="auto"/>
        <w:bottom w:val="none" w:sz="0" w:space="0" w:color="auto"/>
        <w:right w:val="none" w:sz="0" w:space="0" w:color="auto"/>
      </w:divBdr>
    </w:div>
    <w:div w:id="86101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hyperlink" Target="http://www.thereligionofpeace.com/quran/noble/sura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161</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006435</dc:creator>
  <cp:keywords/>
  <dc:description/>
  <cp:lastModifiedBy>006435</cp:lastModifiedBy>
  <cp:revision>1</cp:revision>
  <dcterms:created xsi:type="dcterms:W3CDTF">2016-02-26T17:15:00Z</dcterms:created>
  <dcterms:modified xsi:type="dcterms:W3CDTF">2016-02-26T17:29:00Z</dcterms:modified>
</cp:coreProperties>
</file>